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413EC" w14:textId="77777777" w:rsidR="00C67CA6" w:rsidRPr="004A5A83" w:rsidRDefault="00C67CA6" w:rsidP="00C67CA6">
      <w:pPr>
        <w:spacing w:after="0" w:line="240" w:lineRule="auto"/>
        <w:jc w:val="both"/>
        <w:rPr>
          <w:b/>
          <w:bCs/>
          <w:sz w:val="24"/>
          <w:szCs w:val="24"/>
          <w:lang w:val="en-US"/>
        </w:rPr>
      </w:pPr>
      <w:r w:rsidRPr="004A5A83">
        <w:rPr>
          <w:b/>
          <w:bCs/>
          <w:sz w:val="24"/>
          <w:szCs w:val="24"/>
          <w:lang w:val="en-US"/>
        </w:rPr>
        <w:t>Required pre-workshop readings</w:t>
      </w:r>
    </w:p>
    <w:p w14:paraId="0DFD1F2D" w14:textId="77777777" w:rsidR="00C67CA6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42A1BE0A" w14:textId="77777777" w:rsidR="00C67CA6" w:rsidRPr="004A5A83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  <w:r w:rsidRPr="004A5A83">
        <w:rPr>
          <w:sz w:val="24"/>
          <w:szCs w:val="24"/>
          <w:lang w:val="en-US"/>
        </w:rPr>
        <w:t>Angrist, J. D., &amp; Pischke, J.-S. (2009). Mostly harmless econometrics: An empiricist’s companion. Princeton University Press.</w:t>
      </w:r>
    </w:p>
    <w:p w14:paraId="5204646B" w14:textId="77777777" w:rsidR="00C67CA6" w:rsidRPr="004A5A83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0D8D2E19" w14:textId="77777777" w:rsidR="00C67CA6" w:rsidRPr="004A5A83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  <w:r w:rsidRPr="004A5A83">
        <w:rPr>
          <w:sz w:val="24"/>
          <w:szCs w:val="24"/>
          <w:lang w:val="en-US"/>
        </w:rPr>
        <w:t>Angrist, J. D., &amp; Pischke, J.-S. (2014). Mastering ’metrics: The path from cause to effect. Princeton University Press.</w:t>
      </w:r>
    </w:p>
    <w:p w14:paraId="7C2E24A8" w14:textId="77777777" w:rsidR="00C67CA6" w:rsidRPr="004A5A83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11414E59" w14:textId="77777777" w:rsidR="00C67CA6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  <w:r w:rsidRPr="004A5A83">
        <w:rPr>
          <w:sz w:val="24"/>
          <w:szCs w:val="24"/>
          <w:lang w:val="en-US"/>
        </w:rPr>
        <w:t>Abadie, A. (2021). Using synthetic controls: Feasibility, data requirements, and methodological aspects. Journal of Economic Perspectives, 35(3), 1</w:t>
      </w:r>
      <w:r>
        <w:rPr>
          <w:sz w:val="24"/>
          <w:szCs w:val="24"/>
          <w:lang w:val="en-US"/>
        </w:rPr>
        <w:t>-</w:t>
      </w:r>
      <w:r w:rsidRPr="004A5A83">
        <w:rPr>
          <w:sz w:val="24"/>
          <w:szCs w:val="24"/>
          <w:lang w:val="en-US"/>
        </w:rPr>
        <w:t>24</w:t>
      </w:r>
    </w:p>
    <w:p w14:paraId="116775FD" w14:textId="77777777" w:rsidR="00C67CA6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49263397" w14:textId="77777777" w:rsidR="00C67CA6" w:rsidRPr="00761AB0" w:rsidRDefault="00C67CA6" w:rsidP="00C67CA6">
      <w:pPr>
        <w:spacing w:after="0" w:line="240" w:lineRule="auto"/>
        <w:jc w:val="both"/>
        <w:rPr>
          <w:b/>
          <w:bCs/>
          <w:sz w:val="24"/>
          <w:szCs w:val="24"/>
          <w:lang w:val="en-US"/>
        </w:rPr>
      </w:pPr>
      <w:r w:rsidRPr="00761AB0">
        <w:rPr>
          <w:b/>
          <w:bCs/>
          <w:sz w:val="24"/>
          <w:szCs w:val="24"/>
          <w:lang w:val="en-US"/>
        </w:rPr>
        <w:t>Required post-workshop readings</w:t>
      </w:r>
    </w:p>
    <w:p w14:paraId="59960909" w14:textId="77777777" w:rsidR="00C67CA6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6BE58EA9" w14:textId="77777777" w:rsidR="00C67CA6" w:rsidRPr="00761AB0" w:rsidRDefault="00C67CA6" w:rsidP="00C67CA6">
      <w:pPr>
        <w:spacing w:after="0" w:line="240" w:lineRule="auto"/>
        <w:ind w:firstLine="720"/>
        <w:jc w:val="both"/>
        <w:rPr>
          <w:i/>
          <w:iCs/>
          <w:sz w:val="24"/>
          <w:szCs w:val="24"/>
          <w:lang w:val="en-US"/>
        </w:rPr>
      </w:pPr>
      <w:r w:rsidRPr="00761AB0">
        <w:rPr>
          <w:i/>
          <w:iCs/>
          <w:sz w:val="24"/>
          <w:szCs w:val="24"/>
          <w:lang w:val="en-US"/>
        </w:rPr>
        <w:t>Treatment effects, matching and selection:</w:t>
      </w:r>
    </w:p>
    <w:p w14:paraId="609ED4EA" w14:textId="77777777" w:rsidR="00C67CA6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485B0806" w14:textId="77777777" w:rsidR="00C67CA6" w:rsidRPr="00761AB0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  <w:r w:rsidRPr="00C67CA6">
        <w:rPr>
          <w:sz w:val="24"/>
          <w:szCs w:val="24"/>
          <w:lang w:val="de-DE"/>
        </w:rPr>
        <w:t xml:space="preserve">Rosenbaum, P. R., &amp; Rubin, D. B. (1983). </w:t>
      </w:r>
      <w:r w:rsidRPr="00761AB0">
        <w:rPr>
          <w:sz w:val="24"/>
          <w:szCs w:val="24"/>
          <w:lang w:val="en-US"/>
        </w:rPr>
        <w:t xml:space="preserve">The central role of the propensity score in observational studies for causal effects. </w:t>
      </w:r>
      <w:proofErr w:type="spellStart"/>
      <w:r w:rsidRPr="00761AB0">
        <w:rPr>
          <w:i/>
          <w:iCs/>
          <w:sz w:val="24"/>
          <w:szCs w:val="24"/>
          <w:lang w:val="en-US"/>
        </w:rPr>
        <w:t>Biometrika</w:t>
      </w:r>
      <w:proofErr w:type="spellEnd"/>
      <w:r w:rsidRPr="00761AB0">
        <w:rPr>
          <w:sz w:val="24"/>
          <w:szCs w:val="24"/>
          <w:lang w:val="en-US"/>
        </w:rPr>
        <w:t>, 70(1), 41</w:t>
      </w:r>
      <w:r>
        <w:rPr>
          <w:sz w:val="24"/>
          <w:szCs w:val="24"/>
          <w:lang w:val="en-US"/>
        </w:rPr>
        <w:t>-</w:t>
      </w:r>
      <w:r w:rsidRPr="00761AB0">
        <w:rPr>
          <w:sz w:val="24"/>
          <w:szCs w:val="24"/>
          <w:lang w:val="en-US"/>
        </w:rPr>
        <w:t xml:space="preserve">55. </w:t>
      </w:r>
    </w:p>
    <w:p w14:paraId="674FA10C" w14:textId="77777777" w:rsidR="00C67CA6" w:rsidRPr="00761AB0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74E24583" w14:textId="77777777" w:rsidR="00C67CA6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  <w:proofErr w:type="spellStart"/>
      <w:r w:rsidRPr="00761AB0">
        <w:rPr>
          <w:sz w:val="24"/>
          <w:szCs w:val="24"/>
          <w:lang w:val="en-US"/>
        </w:rPr>
        <w:t>Imbens</w:t>
      </w:r>
      <w:proofErr w:type="spellEnd"/>
      <w:r w:rsidRPr="00761AB0">
        <w:rPr>
          <w:sz w:val="24"/>
          <w:szCs w:val="24"/>
          <w:lang w:val="en-US"/>
        </w:rPr>
        <w:t xml:space="preserve">, G. W., &amp; Wooldridge, J. M. (2009). Recent developments in the econometrics of program evaluation. </w:t>
      </w:r>
      <w:r w:rsidRPr="00761AB0">
        <w:rPr>
          <w:i/>
          <w:iCs/>
          <w:sz w:val="24"/>
          <w:szCs w:val="24"/>
          <w:lang w:val="en-US"/>
        </w:rPr>
        <w:t>Journal of Economic Literature</w:t>
      </w:r>
      <w:r w:rsidRPr="00761AB0">
        <w:rPr>
          <w:sz w:val="24"/>
          <w:szCs w:val="24"/>
          <w:lang w:val="en-US"/>
        </w:rPr>
        <w:t>, 47(1), 5</w:t>
      </w:r>
      <w:r>
        <w:rPr>
          <w:sz w:val="24"/>
          <w:szCs w:val="24"/>
          <w:lang w:val="en-US"/>
        </w:rPr>
        <w:t>-</w:t>
      </w:r>
      <w:r w:rsidRPr="00761AB0">
        <w:rPr>
          <w:sz w:val="24"/>
          <w:szCs w:val="24"/>
          <w:lang w:val="en-US"/>
        </w:rPr>
        <w:t xml:space="preserve">86. </w:t>
      </w:r>
    </w:p>
    <w:p w14:paraId="2791B1F8" w14:textId="77777777" w:rsidR="00C67CA6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1B6548D8" w14:textId="77777777" w:rsidR="00C67CA6" w:rsidRPr="00761AB0" w:rsidRDefault="00C67CA6" w:rsidP="00C67CA6">
      <w:pPr>
        <w:spacing w:after="0" w:line="240" w:lineRule="auto"/>
        <w:jc w:val="both"/>
        <w:rPr>
          <w:i/>
          <w:iCs/>
          <w:sz w:val="24"/>
          <w:szCs w:val="24"/>
          <w:lang w:val="en-US"/>
        </w:rPr>
      </w:pPr>
      <w:r w:rsidRPr="00761AB0">
        <w:rPr>
          <w:i/>
          <w:iCs/>
          <w:sz w:val="24"/>
          <w:szCs w:val="24"/>
          <w:lang w:val="en-US"/>
        </w:rPr>
        <w:tab/>
        <w:t>Panel data econometrics</w:t>
      </w:r>
    </w:p>
    <w:p w14:paraId="17A84077" w14:textId="77777777" w:rsidR="00C67CA6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2CBDDF56" w14:textId="77777777" w:rsidR="00C67CA6" w:rsidRPr="00761AB0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  <w:proofErr w:type="spellStart"/>
      <w:r w:rsidRPr="00761AB0">
        <w:rPr>
          <w:sz w:val="24"/>
          <w:szCs w:val="24"/>
          <w:lang w:val="en-US"/>
        </w:rPr>
        <w:t>Baltagi</w:t>
      </w:r>
      <w:proofErr w:type="spellEnd"/>
      <w:r w:rsidRPr="00761AB0">
        <w:rPr>
          <w:sz w:val="24"/>
          <w:szCs w:val="24"/>
          <w:lang w:val="en-US"/>
        </w:rPr>
        <w:t xml:space="preserve">, B. H. (2021). </w:t>
      </w:r>
      <w:r w:rsidRPr="00761AB0">
        <w:rPr>
          <w:i/>
          <w:iCs/>
          <w:sz w:val="24"/>
          <w:szCs w:val="24"/>
          <w:lang w:val="en-US"/>
        </w:rPr>
        <w:t>Econometric analysis of panel data</w:t>
      </w:r>
      <w:r w:rsidRPr="00761AB0">
        <w:rPr>
          <w:sz w:val="24"/>
          <w:szCs w:val="24"/>
          <w:lang w:val="en-US"/>
        </w:rPr>
        <w:t xml:space="preserve"> (6th ed.). Springer.</w:t>
      </w:r>
    </w:p>
    <w:p w14:paraId="0B2DB25F" w14:textId="77777777" w:rsidR="00C67CA6" w:rsidRPr="00761AB0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7320AEF7" w14:textId="77777777" w:rsidR="00C67CA6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  <w:r w:rsidRPr="00761AB0">
        <w:rPr>
          <w:sz w:val="24"/>
          <w:szCs w:val="24"/>
          <w:lang w:val="en-US"/>
        </w:rPr>
        <w:t xml:space="preserve">Nickell, S. (1981). Biases in dynamic models with fixed effects. </w:t>
      </w:r>
      <w:proofErr w:type="spellStart"/>
      <w:r w:rsidRPr="00761AB0">
        <w:rPr>
          <w:i/>
          <w:iCs/>
          <w:sz w:val="24"/>
          <w:szCs w:val="24"/>
          <w:lang w:val="en-US"/>
        </w:rPr>
        <w:t>Econometrica</w:t>
      </w:r>
      <w:proofErr w:type="spellEnd"/>
      <w:r w:rsidRPr="00761AB0">
        <w:rPr>
          <w:sz w:val="24"/>
          <w:szCs w:val="24"/>
          <w:lang w:val="en-US"/>
        </w:rPr>
        <w:t>, 49(6), 1417</w:t>
      </w:r>
      <w:r>
        <w:rPr>
          <w:sz w:val="24"/>
          <w:szCs w:val="24"/>
          <w:lang w:val="en-US"/>
        </w:rPr>
        <w:t>-</w:t>
      </w:r>
      <w:r w:rsidRPr="00761AB0">
        <w:rPr>
          <w:sz w:val="24"/>
          <w:szCs w:val="24"/>
          <w:lang w:val="en-US"/>
        </w:rPr>
        <w:t>1426.</w:t>
      </w:r>
    </w:p>
    <w:p w14:paraId="47E52C5F" w14:textId="77777777" w:rsidR="00C67CA6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3DE40F0E" w14:textId="77777777" w:rsidR="00C67CA6" w:rsidRPr="00761AB0" w:rsidRDefault="00C67CA6" w:rsidP="00C67CA6">
      <w:pPr>
        <w:spacing w:after="0" w:line="240" w:lineRule="auto"/>
        <w:jc w:val="both"/>
        <w:rPr>
          <w:i/>
          <w:iCs/>
          <w:sz w:val="24"/>
          <w:szCs w:val="24"/>
          <w:lang w:val="en-US"/>
        </w:rPr>
      </w:pPr>
      <w:r w:rsidRPr="00761AB0">
        <w:rPr>
          <w:i/>
          <w:iCs/>
          <w:sz w:val="24"/>
          <w:szCs w:val="24"/>
          <w:lang w:val="en-US"/>
        </w:rPr>
        <w:tab/>
        <w:t>Regression Discontinuity Design</w:t>
      </w:r>
    </w:p>
    <w:p w14:paraId="71225E0E" w14:textId="77777777" w:rsidR="00C67CA6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4E7F3459" w14:textId="77777777" w:rsidR="00C67CA6" w:rsidRPr="00761AB0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  <w:proofErr w:type="spellStart"/>
      <w:r w:rsidRPr="00761AB0">
        <w:rPr>
          <w:sz w:val="24"/>
          <w:szCs w:val="24"/>
          <w:lang w:val="en-US"/>
        </w:rPr>
        <w:t>Imbens</w:t>
      </w:r>
      <w:proofErr w:type="spellEnd"/>
      <w:r w:rsidRPr="00761AB0">
        <w:rPr>
          <w:sz w:val="24"/>
          <w:szCs w:val="24"/>
          <w:lang w:val="en-US"/>
        </w:rPr>
        <w:t xml:space="preserve">, G. W., &amp; Lemieux, T. (2008). Regression discontinuity designs: A guide to practice. </w:t>
      </w:r>
      <w:r w:rsidRPr="00761AB0">
        <w:rPr>
          <w:i/>
          <w:iCs/>
          <w:sz w:val="24"/>
          <w:szCs w:val="24"/>
          <w:lang w:val="en-US"/>
        </w:rPr>
        <w:t>Journal of Econometrics</w:t>
      </w:r>
      <w:r w:rsidRPr="00761AB0">
        <w:rPr>
          <w:sz w:val="24"/>
          <w:szCs w:val="24"/>
          <w:lang w:val="en-US"/>
        </w:rPr>
        <w:t>, 142(2), 615</w:t>
      </w:r>
      <w:r>
        <w:rPr>
          <w:sz w:val="24"/>
          <w:szCs w:val="24"/>
          <w:lang w:val="en-US"/>
        </w:rPr>
        <w:t>-</w:t>
      </w:r>
      <w:r w:rsidRPr="00761AB0">
        <w:rPr>
          <w:sz w:val="24"/>
          <w:szCs w:val="24"/>
          <w:lang w:val="en-US"/>
        </w:rPr>
        <w:t>635.</w:t>
      </w:r>
    </w:p>
    <w:p w14:paraId="01081E84" w14:textId="77777777" w:rsidR="00C67CA6" w:rsidRPr="00761AB0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2F875BD0" w14:textId="77777777" w:rsidR="00C67CA6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  <w:r w:rsidRPr="00761AB0">
        <w:rPr>
          <w:sz w:val="24"/>
          <w:szCs w:val="24"/>
          <w:lang w:val="en-US"/>
        </w:rPr>
        <w:t xml:space="preserve">Lee, D. S., &amp; Lemieux, T. (2010). Regression discontinuity designs in economics. </w:t>
      </w:r>
      <w:r w:rsidRPr="00761AB0">
        <w:rPr>
          <w:i/>
          <w:iCs/>
          <w:sz w:val="24"/>
          <w:szCs w:val="24"/>
          <w:lang w:val="en-US"/>
        </w:rPr>
        <w:t>Journal of Economic Literature</w:t>
      </w:r>
      <w:r w:rsidRPr="00761AB0">
        <w:rPr>
          <w:sz w:val="24"/>
          <w:szCs w:val="24"/>
          <w:lang w:val="en-US"/>
        </w:rPr>
        <w:t>, 48(2), 281</w:t>
      </w:r>
      <w:r>
        <w:rPr>
          <w:sz w:val="24"/>
          <w:szCs w:val="24"/>
          <w:lang w:val="en-US"/>
        </w:rPr>
        <w:t>-</w:t>
      </w:r>
      <w:r w:rsidRPr="00761AB0">
        <w:rPr>
          <w:sz w:val="24"/>
          <w:szCs w:val="24"/>
          <w:lang w:val="en-US"/>
        </w:rPr>
        <w:t>355.</w:t>
      </w:r>
    </w:p>
    <w:p w14:paraId="76D9F455" w14:textId="77777777" w:rsidR="00C67CA6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227F47F2" w14:textId="77777777" w:rsidR="00C67CA6" w:rsidRPr="00761AB0" w:rsidRDefault="00C67CA6" w:rsidP="00C67CA6">
      <w:pPr>
        <w:spacing w:after="0" w:line="240" w:lineRule="auto"/>
        <w:jc w:val="both"/>
        <w:rPr>
          <w:i/>
          <w:iCs/>
          <w:sz w:val="24"/>
          <w:szCs w:val="24"/>
          <w:lang w:val="en-US"/>
        </w:rPr>
      </w:pPr>
      <w:r w:rsidRPr="00761AB0">
        <w:rPr>
          <w:i/>
          <w:iCs/>
          <w:sz w:val="24"/>
          <w:szCs w:val="24"/>
          <w:lang w:val="en-US"/>
        </w:rPr>
        <w:tab/>
        <w:t>Difference-in-</w:t>
      </w:r>
      <w:r>
        <w:rPr>
          <w:i/>
          <w:iCs/>
          <w:sz w:val="24"/>
          <w:szCs w:val="24"/>
          <w:lang w:val="en-US"/>
        </w:rPr>
        <w:t>D</w:t>
      </w:r>
      <w:r w:rsidRPr="00761AB0">
        <w:rPr>
          <w:i/>
          <w:iCs/>
          <w:sz w:val="24"/>
          <w:szCs w:val="24"/>
          <w:lang w:val="en-US"/>
        </w:rPr>
        <w:t>ifferences</w:t>
      </w:r>
    </w:p>
    <w:p w14:paraId="07F7CFBB" w14:textId="77777777" w:rsidR="00C67CA6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48E8F0FB" w14:textId="77777777" w:rsidR="00C67CA6" w:rsidRPr="00761AB0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  <w:r w:rsidRPr="00761AB0">
        <w:rPr>
          <w:sz w:val="24"/>
          <w:szCs w:val="24"/>
          <w:lang w:val="en-US"/>
        </w:rPr>
        <w:t xml:space="preserve">Callaway, B., &amp; Sant’Anna, P. H. C. (2021). Difference-in-differences with multiple time periods. </w:t>
      </w:r>
      <w:r w:rsidRPr="00761AB0">
        <w:rPr>
          <w:i/>
          <w:iCs/>
          <w:sz w:val="24"/>
          <w:szCs w:val="24"/>
          <w:lang w:val="en-US"/>
        </w:rPr>
        <w:t>Journal of Econometrics</w:t>
      </w:r>
      <w:r w:rsidRPr="00761AB0">
        <w:rPr>
          <w:sz w:val="24"/>
          <w:szCs w:val="24"/>
          <w:lang w:val="en-US"/>
        </w:rPr>
        <w:t>, 225(2), 200</w:t>
      </w:r>
      <w:r>
        <w:rPr>
          <w:sz w:val="24"/>
          <w:szCs w:val="24"/>
          <w:lang w:val="en-US"/>
        </w:rPr>
        <w:t>-</w:t>
      </w:r>
      <w:r w:rsidRPr="00761AB0">
        <w:rPr>
          <w:sz w:val="24"/>
          <w:szCs w:val="24"/>
          <w:lang w:val="en-US"/>
        </w:rPr>
        <w:t xml:space="preserve">230. </w:t>
      </w:r>
    </w:p>
    <w:p w14:paraId="2B71A1EE" w14:textId="77777777" w:rsidR="00C67CA6" w:rsidRPr="00761AB0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415DEBA5" w14:textId="77777777" w:rsidR="00C67CA6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  <w:r w:rsidRPr="00761AB0">
        <w:rPr>
          <w:sz w:val="24"/>
          <w:szCs w:val="24"/>
          <w:lang w:val="en-US"/>
        </w:rPr>
        <w:t xml:space="preserve">Goodman-Bacon, A. (2021). Difference-in-differences with variation in treatment timing. </w:t>
      </w:r>
      <w:r w:rsidRPr="00761AB0">
        <w:rPr>
          <w:i/>
          <w:iCs/>
          <w:sz w:val="24"/>
          <w:szCs w:val="24"/>
          <w:lang w:val="en-US"/>
        </w:rPr>
        <w:t>Journal of Econometrics</w:t>
      </w:r>
      <w:r w:rsidRPr="00761AB0">
        <w:rPr>
          <w:sz w:val="24"/>
          <w:szCs w:val="24"/>
          <w:lang w:val="en-US"/>
        </w:rPr>
        <w:t>, 225(2), 254</w:t>
      </w:r>
      <w:r>
        <w:rPr>
          <w:sz w:val="24"/>
          <w:szCs w:val="24"/>
          <w:lang w:val="en-US"/>
        </w:rPr>
        <w:t>-</w:t>
      </w:r>
      <w:r w:rsidRPr="00761AB0">
        <w:rPr>
          <w:sz w:val="24"/>
          <w:szCs w:val="24"/>
          <w:lang w:val="en-US"/>
        </w:rPr>
        <w:t>277.</w:t>
      </w:r>
    </w:p>
    <w:p w14:paraId="4B25FE05" w14:textId="77777777" w:rsidR="00C67CA6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0B8EE0EF" w14:textId="77777777" w:rsidR="00C67CA6" w:rsidRPr="00761AB0" w:rsidRDefault="00C67CA6" w:rsidP="00C67CA6">
      <w:pPr>
        <w:spacing w:after="0" w:line="240" w:lineRule="auto"/>
        <w:jc w:val="both"/>
        <w:rPr>
          <w:i/>
          <w:iCs/>
          <w:sz w:val="24"/>
          <w:szCs w:val="24"/>
          <w:lang w:val="en-US"/>
        </w:rPr>
      </w:pPr>
      <w:r w:rsidRPr="00761AB0">
        <w:rPr>
          <w:i/>
          <w:iCs/>
          <w:sz w:val="24"/>
          <w:szCs w:val="24"/>
          <w:lang w:val="en-US"/>
        </w:rPr>
        <w:tab/>
        <w:t>Synthetic Control Method</w:t>
      </w:r>
    </w:p>
    <w:p w14:paraId="0357DF82" w14:textId="77777777" w:rsidR="00C67CA6" w:rsidRPr="00761AB0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5D2637EB" w14:textId="77777777" w:rsidR="00C67CA6" w:rsidRPr="00761AB0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  <w:r w:rsidRPr="00761AB0">
        <w:rPr>
          <w:sz w:val="24"/>
          <w:szCs w:val="24"/>
          <w:lang w:val="en-US"/>
        </w:rPr>
        <w:lastRenderedPageBreak/>
        <w:t xml:space="preserve">Abadie, A., Diamond, A., &amp; </w:t>
      </w:r>
      <w:proofErr w:type="spellStart"/>
      <w:r w:rsidRPr="00761AB0">
        <w:rPr>
          <w:sz w:val="24"/>
          <w:szCs w:val="24"/>
          <w:lang w:val="en-US"/>
        </w:rPr>
        <w:t>Hainmueller</w:t>
      </w:r>
      <w:proofErr w:type="spellEnd"/>
      <w:r w:rsidRPr="00761AB0">
        <w:rPr>
          <w:sz w:val="24"/>
          <w:szCs w:val="24"/>
          <w:lang w:val="en-US"/>
        </w:rPr>
        <w:t xml:space="preserve">, J. (2010). Synthetic control methods for comparative case studies: Estimating the effect of California’s tobacco control program. </w:t>
      </w:r>
      <w:r w:rsidRPr="00761AB0">
        <w:rPr>
          <w:i/>
          <w:iCs/>
          <w:sz w:val="24"/>
          <w:szCs w:val="24"/>
          <w:lang w:val="en-US"/>
        </w:rPr>
        <w:t>Journal of the American Statistical Association</w:t>
      </w:r>
      <w:r w:rsidRPr="00761AB0">
        <w:rPr>
          <w:sz w:val="24"/>
          <w:szCs w:val="24"/>
          <w:lang w:val="en-US"/>
        </w:rPr>
        <w:t>, 105(490), 493</w:t>
      </w:r>
      <w:r>
        <w:rPr>
          <w:sz w:val="24"/>
          <w:szCs w:val="24"/>
          <w:lang w:val="en-US"/>
        </w:rPr>
        <w:t>-</w:t>
      </w:r>
      <w:r w:rsidRPr="00761AB0">
        <w:rPr>
          <w:sz w:val="24"/>
          <w:szCs w:val="24"/>
          <w:lang w:val="en-US"/>
        </w:rPr>
        <w:t xml:space="preserve">505. </w:t>
      </w:r>
    </w:p>
    <w:p w14:paraId="1E3C2D55" w14:textId="77777777" w:rsidR="00C67CA6" w:rsidRPr="00761AB0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05A3CC22" w14:textId="77777777" w:rsidR="00C67CA6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  <w:r w:rsidRPr="00761AB0">
        <w:rPr>
          <w:sz w:val="24"/>
          <w:szCs w:val="24"/>
          <w:lang w:val="en-US"/>
        </w:rPr>
        <w:t xml:space="preserve">Abadie, A., Diamond, A., &amp; </w:t>
      </w:r>
      <w:proofErr w:type="spellStart"/>
      <w:r w:rsidRPr="00761AB0">
        <w:rPr>
          <w:sz w:val="24"/>
          <w:szCs w:val="24"/>
          <w:lang w:val="en-US"/>
        </w:rPr>
        <w:t>Hainmueller</w:t>
      </w:r>
      <w:proofErr w:type="spellEnd"/>
      <w:r w:rsidRPr="00761AB0">
        <w:rPr>
          <w:sz w:val="24"/>
          <w:szCs w:val="24"/>
          <w:lang w:val="en-US"/>
        </w:rPr>
        <w:t xml:space="preserve">, J. (2015). Comparative politics and the synthetic control method. </w:t>
      </w:r>
      <w:r w:rsidRPr="00761AB0">
        <w:rPr>
          <w:i/>
          <w:iCs/>
          <w:sz w:val="24"/>
          <w:szCs w:val="24"/>
          <w:lang w:val="en-US"/>
        </w:rPr>
        <w:t>American Journal of Political Science</w:t>
      </w:r>
      <w:r w:rsidRPr="00761AB0">
        <w:rPr>
          <w:sz w:val="24"/>
          <w:szCs w:val="24"/>
          <w:lang w:val="en-US"/>
        </w:rPr>
        <w:t>, 59(2), 495</w:t>
      </w:r>
      <w:r>
        <w:rPr>
          <w:sz w:val="24"/>
          <w:szCs w:val="24"/>
          <w:lang w:val="en-US"/>
        </w:rPr>
        <w:t>-</w:t>
      </w:r>
      <w:r w:rsidRPr="00761AB0">
        <w:rPr>
          <w:sz w:val="24"/>
          <w:szCs w:val="24"/>
          <w:lang w:val="en-US"/>
        </w:rPr>
        <w:t xml:space="preserve">510. </w:t>
      </w:r>
    </w:p>
    <w:p w14:paraId="77DAD4F1" w14:textId="77777777" w:rsidR="00C67CA6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21282248" w14:textId="77777777" w:rsidR="00C67CA6" w:rsidRPr="00761AB0" w:rsidRDefault="00C67CA6" w:rsidP="00C67CA6">
      <w:pPr>
        <w:spacing w:after="0" w:line="240" w:lineRule="auto"/>
        <w:jc w:val="both"/>
        <w:rPr>
          <w:b/>
          <w:bCs/>
          <w:sz w:val="24"/>
          <w:szCs w:val="24"/>
          <w:lang w:val="en-US"/>
        </w:rPr>
      </w:pPr>
      <w:r w:rsidRPr="00761AB0">
        <w:rPr>
          <w:b/>
          <w:bCs/>
          <w:sz w:val="24"/>
          <w:szCs w:val="24"/>
          <w:lang w:val="en-US"/>
        </w:rPr>
        <w:t>Optional Background Reading</w:t>
      </w:r>
    </w:p>
    <w:p w14:paraId="1BB7DA08" w14:textId="77777777" w:rsidR="00C67CA6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</w:p>
    <w:p w14:paraId="77342F62" w14:textId="77777777" w:rsidR="00C67CA6" w:rsidRPr="004A5A83" w:rsidRDefault="00C67CA6" w:rsidP="00C67CA6">
      <w:pPr>
        <w:spacing w:after="0" w:line="240" w:lineRule="auto"/>
        <w:jc w:val="both"/>
        <w:rPr>
          <w:sz w:val="24"/>
          <w:szCs w:val="24"/>
          <w:lang w:val="en-US"/>
        </w:rPr>
      </w:pPr>
      <w:r w:rsidRPr="00761AB0">
        <w:rPr>
          <w:sz w:val="24"/>
          <w:szCs w:val="24"/>
          <w:lang w:val="en-US"/>
        </w:rPr>
        <w:t xml:space="preserve">Morgan, S. L., &amp; Winship, C. (2015). </w:t>
      </w:r>
      <w:r w:rsidRPr="00761AB0">
        <w:rPr>
          <w:i/>
          <w:iCs/>
          <w:sz w:val="24"/>
          <w:szCs w:val="24"/>
          <w:lang w:val="en-US"/>
        </w:rPr>
        <w:t>Counterfactuals and causal inference: Methods and principles for social research</w:t>
      </w:r>
      <w:r w:rsidRPr="00761AB0">
        <w:rPr>
          <w:sz w:val="24"/>
          <w:szCs w:val="24"/>
          <w:lang w:val="en-US"/>
        </w:rPr>
        <w:t xml:space="preserve"> (2nd ed.). Cambridge University Press.</w:t>
      </w:r>
    </w:p>
    <w:p w14:paraId="3A2A782F" w14:textId="77777777" w:rsidR="004A1544" w:rsidRDefault="004A1544"/>
    <w:sectPr w:rsidR="004A1544" w:rsidSect="00C67C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MU Sans Serif">
    <w:altName w:val="Calibri"/>
    <w:charset w:val="EE"/>
    <w:family w:val="auto"/>
    <w:pitch w:val="variable"/>
    <w:sig w:usb0="E10002FF" w:usb1="5201E9EB" w:usb2="00020004" w:usb3="00000000" w:csb0="000001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CA6"/>
    <w:rsid w:val="004A1544"/>
    <w:rsid w:val="0072492F"/>
    <w:rsid w:val="00905EE1"/>
    <w:rsid w:val="00A70273"/>
    <w:rsid w:val="00C67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07AAA"/>
  <w15:chartTrackingRefBased/>
  <w15:docId w15:val="{A2739E07-D917-4133-9C24-ABB5181A4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67CA6"/>
    <w:rPr>
      <w:rFonts w:ascii="CMU Sans Serif" w:hAnsi="CMU Sans Serif" w:cs="CMU Sans Serif"/>
      <w:kern w:val="0"/>
      <w:sz w:val="28"/>
      <w:lang w:val="sl-SI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C67C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nl-NL"/>
      <w14:ligatures w14:val="standardContextual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C67C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nl-NL"/>
      <w14:ligatures w14:val="standardContextual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C67CA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Cs w:val="28"/>
      <w:lang w:val="nl-NL"/>
      <w14:ligatures w14:val="standardContextual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C67CA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lang w:val="nl-NL"/>
      <w14:ligatures w14:val="standardContextual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C67CA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lang w:val="nl-NL"/>
      <w14:ligatures w14:val="standardContextual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C67CA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lang w:val="nl-NL"/>
      <w14:ligatures w14:val="standardContextual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C67CA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lang w:val="nl-NL"/>
      <w14:ligatures w14:val="standardContextual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C67CA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lang w:val="nl-NL"/>
      <w14:ligatures w14:val="standardContextual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C67CA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lang w:val="nl-NL"/>
      <w14:ligatures w14:val="standardContextu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C67CA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C67C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C67CA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C67CA6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C67CA6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C67CA6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C67CA6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C67CA6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C67CA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C67C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nl-NL"/>
      <w14:ligatures w14:val="standardContextual"/>
    </w:rPr>
  </w:style>
  <w:style w:type="character" w:customStyle="1" w:styleId="TitelChar">
    <w:name w:val="Titel Char"/>
    <w:basedOn w:val="Standaardalinea-lettertype"/>
    <w:link w:val="Titel"/>
    <w:uiPriority w:val="10"/>
    <w:rsid w:val="00C67C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C67CA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Cs w:val="28"/>
      <w:lang w:val="nl-NL"/>
      <w14:ligatures w14:val="standardContextual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C67C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C67CA6"/>
    <w:pPr>
      <w:spacing w:before="160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lang w:val="nl-NL"/>
      <w14:ligatures w14:val="standardContextual"/>
    </w:rPr>
  </w:style>
  <w:style w:type="character" w:customStyle="1" w:styleId="CitaatChar">
    <w:name w:val="Citaat Char"/>
    <w:basedOn w:val="Standaardalinea-lettertype"/>
    <w:link w:val="Citaat"/>
    <w:uiPriority w:val="29"/>
    <w:rsid w:val="00C67CA6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C67CA6"/>
    <w:pPr>
      <w:ind w:left="720"/>
      <w:contextualSpacing/>
    </w:pPr>
    <w:rPr>
      <w:rFonts w:asciiTheme="minorHAnsi" w:hAnsiTheme="minorHAnsi" w:cstheme="minorBidi"/>
      <w:kern w:val="2"/>
      <w:sz w:val="22"/>
      <w:lang w:val="nl-NL"/>
      <w14:ligatures w14:val="standardContextual"/>
    </w:rPr>
  </w:style>
  <w:style w:type="character" w:styleId="Intensievebenadrukking">
    <w:name w:val="Intense Emphasis"/>
    <w:basedOn w:val="Standaardalinea-lettertype"/>
    <w:uiPriority w:val="21"/>
    <w:qFormat/>
    <w:rsid w:val="00C67CA6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C67C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2F5496" w:themeColor="accent1" w:themeShade="BF"/>
      <w:kern w:val="2"/>
      <w:sz w:val="22"/>
      <w:lang w:val="nl-NL"/>
      <w14:ligatures w14:val="standardContextual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C67CA6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C67CA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344</Words>
  <Characters>1894</Characters>
  <Application>Microsoft Office Word</Application>
  <DocSecurity>0</DocSecurity>
  <Lines>15</Lines>
  <Paragraphs>4</Paragraphs>
  <ScaleCrop>false</ScaleCrop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Wesselius, E.P. (Erik)</dc:creator>
  <cp:keywords/>
  <dc:description/>
  <cp:lastModifiedBy>Wesselius, E.P. (Erik)</cp:lastModifiedBy>
  <cp:revision>1</cp:revision>
  <dcterms:created xsi:type="dcterms:W3CDTF">2026-01-23T10:47:00Z</dcterms:created>
  <dcterms:modified xsi:type="dcterms:W3CDTF">2026-01-23T10:48:00Z</dcterms:modified>
</cp:coreProperties>
</file>